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15 сентября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1434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Постанов</w:t>
      </w:r>
      <w:r>
        <w:rPr>
          <w:rFonts w:ascii="Times New Roman" w:hAnsi="Times New Roman" w:cs="Times New Roman"/>
          <w:sz w:val="24"/>
          <w:szCs w:val="24"/>
        </w:rPr>
        <w:t xml:space="preserve">лений Правительства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26.10.2020 N 1742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30.01.2021 N 89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30.06.2021 N 1101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09.03.2022 N 306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09.12.2023 N 2092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техническом осмотре транспортных средств и о внесении изменений в отдельные законодательные акты Российск</w:t>
      </w:r>
      <w:r>
        <w:rPr>
          <w:rFonts w:ascii="Times New Roman" w:hAnsi="Times New Roman" w:cs="Times New Roman"/>
          <w:sz w:val="24"/>
          <w:szCs w:val="24"/>
        </w:rPr>
        <w:t>ой Федерации" Правительство Российской Федерации постановляет: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проведения технического осмотра транспортных средств;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изменения, которые вносятся в акты Правительства Российской Федерации.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Правила проведения 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осмотра транспортных средств, утвержденные настоящим постановлением, вступают в силу со дня вступления в силу Федерального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Федеральный закон "</w:t>
      </w:r>
      <w:r>
        <w:rPr>
          <w:rFonts w:ascii="Times New Roman" w:hAnsi="Times New Roman" w:cs="Times New Roman"/>
          <w:sz w:val="24"/>
          <w:szCs w:val="24"/>
        </w:rPr>
        <w:t>О техническом осмотре транспортных средств и о внесении изменений в отдельные законодательные акты Российской Федерации" и отдельные законодательные акты Российской Федерации" и действуют в течение 6 лет со дня вступления в силу этого Федерального закона.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Пункт 2 изменений, утвержденных настоящим постановлением, вступает в силу со дня вступления в силу Федерального закона "О внесении изменений в Федеральный закон "О техническом осмотре транспортных средств и о внесении изменений в отдельные законодательн</w:t>
      </w:r>
      <w:r>
        <w:rPr>
          <w:rFonts w:ascii="Times New Roman" w:hAnsi="Times New Roman" w:cs="Times New Roman"/>
          <w:sz w:val="24"/>
          <w:szCs w:val="24"/>
        </w:rPr>
        <w:t>ые акты Российской Федерации" и отдельные законодательные акты Российской Федерации".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Правительства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 МИШУСТИН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УТВЕРЖДЕНЫ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15 сентября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1434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действуют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 01.03.2021 до 01.03.2027 (</w:t>
      </w:r>
      <w:hyperlink r:id="rId1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ПРАВИЛА ПРОВЕДЕНИЯ ТЕХНИЧЕСКОГО ОСМОТРА ТРАНСПОРТНЫХ СРЕДСТВ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30.01.2021 N 89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09.03.2022 N 306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09.12.2023 N 2092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Настоящие Правила устанавливают: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порядок оказания услуг по проведению технического осмотра транспортных средств, в том числе с использованием передвижной диагностической линии</w:t>
      </w:r>
      <w:r>
        <w:rPr>
          <w:rFonts w:ascii="Times New Roman" w:hAnsi="Times New Roman" w:cs="Times New Roman"/>
          <w:sz w:val="24"/>
          <w:szCs w:val="24"/>
        </w:rPr>
        <w:t>, включая процедуру подтверждения соответствия транспортных средств (в том числе их частей, предметов их дополнительного оборудования) обязательным требованиям безопасности транспортных средств, проводимую в форме технического диагностирования, в целях доп</w:t>
      </w:r>
      <w:r>
        <w:rPr>
          <w:rFonts w:ascii="Times New Roman" w:hAnsi="Times New Roman" w:cs="Times New Roman"/>
          <w:sz w:val="24"/>
          <w:szCs w:val="24"/>
        </w:rPr>
        <w:t>уска транспортных средств к участию в дорожном движении на территории Российской Федерации и в случаях, предусмотренных международными договорами Российской Федерации, также за ее пределами (далее - технический осмотр);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особенности проведения техническо</w:t>
      </w:r>
      <w:r>
        <w:rPr>
          <w:rFonts w:ascii="Times New Roman" w:hAnsi="Times New Roman" w:cs="Times New Roman"/>
          <w:sz w:val="24"/>
          <w:szCs w:val="24"/>
        </w:rPr>
        <w:t>го осмотра вне пунктов технического осмотра с использованием передвижных диагностических линий;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порядок аннулирования диагностической карты.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Правила не применяются к отношениям, связанным с проведением технического осмотра транспортных сред</w:t>
      </w:r>
      <w:r>
        <w:rPr>
          <w:rFonts w:ascii="Times New Roman" w:hAnsi="Times New Roman" w:cs="Times New Roman"/>
          <w:sz w:val="24"/>
          <w:szCs w:val="24"/>
        </w:rPr>
        <w:t>ств городского наземного электрического транспорта, транспортных средств, зарегистрированных военными автомобильными инспекциями или автомобильными службами федеральных органов исполнительной власти, в которых федеральным законом предусмотрена военная служ</w:t>
      </w:r>
      <w:r>
        <w:rPr>
          <w:rFonts w:ascii="Times New Roman" w:hAnsi="Times New Roman" w:cs="Times New Roman"/>
          <w:sz w:val="24"/>
          <w:szCs w:val="24"/>
        </w:rPr>
        <w:t>ба, транспортных средств органов, осуществляющих оперативно-разыскную деятельность, а также тракторов, самоходных дорожно-строительных и иных машин, которые имеют двигатель внутреннего сгорания объемом более 50 куб. сантиметров или электродвигатель максима</w:t>
      </w:r>
      <w:r>
        <w:rPr>
          <w:rFonts w:ascii="Times New Roman" w:hAnsi="Times New Roman" w:cs="Times New Roman"/>
          <w:sz w:val="24"/>
          <w:szCs w:val="24"/>
        </w:rPr>
        <w:t>льной мощностью более 4 киловатт, и прицепов к ним и которые зарегистрированы (или подлежат государственной регистрации) органами, осуществляющими государственный надзор за техническим состоянием самоходных машин и других видов техники, если иное не устано</w:t>
      </w:r>
      <w:r>
        <w:rPr>
          <w:rFonts w:ascii="Times New Roman" w:hAnsi="Times New Roman" w:cs="Times New Roman"/>
          <w:sz w:val="24"/>
          <w:szCs w:val="24"/>
        </w:rPr>
        <w:t>влено актами Правительства Российской Федерации.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Обязательные требования безопасности транспортных средств, предъявляемые при проведении технического осмотра к транспортным средствам отдельных категорий, приведены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проведении тех</w:t>
      </w:r>
      <w:r>
        <w:rPr>
          <w:rFonts w:ascii="Times New Roman" w:hAnsi="Times New Roman" w:cs="Times New Roman"/>
          <w:sz w:val="24"/>
          <w:szCs w:val="24"/>
        </w:rPr>
        <w:t xml:space="preserve">нического осмотра к транспортным средствам не применяются </w:t>
      </w:r>
      <w:r>
        <w:rPr>
          <w:rFonts w:ascii="Times New Roman" w:hAnsi="Times New Roman" w:cs="Times New Roman"/>
          <w:sz w:val="24"/>
          <w:szCs w:val="24"/>
        </w:rPr>
        <w:lastRenderedPageBreak/>
        <w:t>требования, касающиеся наличия подлежащих проверке элементов конструкции, которые не были предусмотрены на транспортном средстве на момент его выпуска в обращение, при условии отсутствия внесения из</w:t>
      </w:r>
      <w:r>
        <w:rPr>
          <w:rFonts w:ascii="Times New Roman" w:hAnsi="Times New Roman" w:cs="Times New Roman"/>
          <w:sz w:val="24"/>
          <w:szCs w:val="24"/>
        </w:rPr>
        <w:t>менений в его конструкцию в части указанных элементов и содержащих их узлов и агрегатов, за исключением требований, касающихся наличия тахографа или контрольного устройства (тахографа) регистрации режима труда и отдыха водителей транспортных средств, преду</w:t>
      </w:r>
      <w:r>
        <w:rPr>
          <w:rFonts w:ascii="Times New Roman" w:hAnsi="Times New Roman" w:cs="Times New Roman"/>
          <w:sz w:val="24"/>
          <w:szCs w:val="24"/>
        </w:rPr>
        <w:t>смотренного Европейским соглашением, касающимся работы экипажей транспортных средств, производящих международные автомобильные перевозки (ЕСТР).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Технический осмотр проводится операторами технического осмотра, аккредитованными в установленном порядке для</w:t>
      </w:r>
      <w:r>
        <w:rPr>
          <w:rFonts w:ascii="Times New Roman" w:hAnsi="Times New Roman" w:cs="Times New Roman"/>
          <w:sz w:val="24"/>
          <w:szCs w:val="24"/>
        </w:rPr>
        <w:t xml:space="preserve"> проведения технического осмотра в области аккредитации, соответствующей категориям транспортных средств, предусмотренным приложениями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и 2 (далее - операторы технического осмотра).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Проведение технического осмотра осуществляется на платной основе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договором о проведении технического осмотра, заключаемым владельцем транспортного средства или его представителем, в том числе представителем, действующим на основании доверенности, оформленной в простой письменной форме (далее - заявитель), </w:t>
      </w:r>
      <w:r>
        <w:rPr>
          <w:rFonts w:ascii="Times New Roman" w:hAnsi="Times New Roman" w:cs="Times New Roman"/>
          <w:sz w:val="24"/>
          <w:szCs w:val="24"/>
        </w:rPr>
        <w:t>и оператором технического осмотра по типовой форме, утвержденной Министерством экономического развития Российской Федерации.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Размер платы за проведение технического осмотра и размер платы за проведение повторного технического осмотра, который определяет</w:t>
      </w:r>
      <w:r>
        <w:rPr>
          <w:rFonts w:ascii="Times New Roman" w:hAnsi="Times New Roman" w:cs="Times New Roman"/>
          <w:sz w:val="24"/>
          <w:szCs w:val="24"/>
        </w:rPr>
        <w:t xml:space="preserve">ся объемом выполненных работ, устанавливаются оператором технического осмотра и не могут превышать предельный размер платы за проведение технического осмотра, установленный высшим исполнительным органом государственной власти субъекта Российской Федерации </w:t>
      </w:r>
      <w:r>
        <w:rPr>
          <w:rFonts w:ascii="Times New Roman" w:hAnsi="Times New Roman" w:cs="Times New Roman"/>
          <w:sz w:val="24"/>
          <w:szCs w:val="24"/>
        </w:rPr>
        <w:t>в соответствии с методикой, утвержденной Федеральной антимонопольной службой.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Операторы технического осмотра обеспечивают размещение в информационно-телекоммуникационной сети "Интернет" и в удобном для ознакомления владельцами транспортных средств месте</w:t>
      </w:r>
      <w:r>
        <w:rPr>
          <w:rFonts w:ascii="Times New Roman" w:hAnsi="Times New Roman" w:cs="Times New Roman"/>
          <w:sz w:val="24"/>
          <w:szCs w:val="24"/>
        </w:rPr>
        <w:t xml:space="preserve"> и виде в пунктах технического осмотра и местах работы передвижных диагностических линий (при наличии) текста Федерального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техническом осмотре транспортных средств </w:t>
      </w:r>
      <w:r>
        <w:rPr>
          <w:rFonts w:ascii="Times New Roman" w:hAnsi="Times New Roman" w:cs="Times New Roman"/>
          <w:sz w:val="24"/>
          <w:szCs w:val="24"/>
        </w:rPr>
        <w:t>и о внесении изменений в отдельные законодательные акты Российской Федерации", настоящих Правил, информации справочного характера (в том числе адресов оператора технического осмотра, пунктов технического осмотра и мест работы передвижных диагностических ли</w:t>
      </w:r>
      <w:r>
        <w:rPr>
          <w:rFonts w:ascii="Times New Roman" w:hAnsi="Times New Roman" w:cs="Times New Roman"/>
          <w:sz w:val="24"/>
          <w:szCs w:val="24"/>
        </w:rPr>
        <w:t>ний (при наличии), номеров телефонов, адреса электронной почты, адреса сайта оператора технического осмотра в информационно-телекоммуникационной сети "Интернет"), актуальной информации о режиме работы пунктов технического осмотра и передвижных диагностичес</w:t>
      </w:r>
      <w:r>
        <w:rPr>
          <w:rFonts w:ascii="Times New Roman" w:hAnsi="Times New Roman" w:cs="Times New Roman"/>
          <w:sz w:val="24"/>
          <w:szCs w:val="24"/>
        </w:rPr>
        <w:t>ких линий (при наличии), информации о размерах платы за проведение технического осмотра и платы за проведение повторного технического осмотра, перечня документов, необходимых для прохождения технического осмотра, копии аттестата аккредитации оператора техн</w:t>
      </w:r>
      <w:r>
        <w:rPr>
          <w:rFonts w:ascii="Times New Roman" w:hAnsi="Times New Roman" w:cs="Times New Roman"/>
          <w:sz w:val="24"/>
          <w:szCs w:val="24"/>
        </w:rPr>
        <w:t>ического осмотра и сведений о наличии передвижных диагностических линий (при наличии), типовой формы договора о проведении технического осмотра, а также информации о возможности предварительной записи на технический осмотр.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Порядок оказания услуг по п</w:t>
      </w:r>
      <w:r>
        <w:rPr>
          <w:rFonts w:ascii="Times New Roman" w:hAnsi="Times New Roman" w:cs="Times New Roman"/>
          <w:b/>
          <w:bCs/>
          <w:sz w:val="32"/>
          <w:szCs w:val="32"/>
        </w:rPr>
        <w:t>роведению технического осмотра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Для проведения технического осмотра заявитель обращается к любому оператору технического осмотра в любой пункт технического осмотра вне зависимости от места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государственной регистрации транспортного средства и представляет</w:t>
      </w:r>
      <w:r>
        <w:rPr>
          <w:rFonts w:ascii="Times New Roman" w:hAnsi="Times New Roman" w:cs="Times New Roman"/>
          <w:sz w:val="24"/>
          <w:szCs w:val="24"/>
        </w:rPr>
        <w:t xml:space="preserve"> транспортное средство, а также следующие документы: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документ, удостоверяющий личность;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свидетельство о регистрации транспортного средства или паспорт транспортного средства (выписка из электронного паспорта транспортного средства). (в ред. Постановл</w:t>
      </w:r>
      <w:r>
        <w:rPr>
          <w:rFonts w:ascii="Times New Roman" w:hAnsi="Times New Roman" w:cs="Times New Roman"/>
          <w:sz w:val="24"/>
          <w:szCs w:val="24"/>
        </w:rPr>
        <w:t xml:space="preserve">ения Правительства РФ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09.12.2023 N 2092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случае непредставления заявителем указанных в пункте 9 настоящих Правил документов либо в случае отказа от оплаты услуг по п</w:t>
      </w:r>
      <w:r>
        <w:rPr>
          <w:rFonts w:ascii="Times New Roman" w:hAnsi="Times New Roman" w:cs="Times New Roman"/>
          <w:sz w:val="24"/>
          <w:szCs w:val="24"/>
        </w:rPr>
        <w:t>роведению технического осмотра оператор технического осмотра отказывает заявителю в оказании услуг по проведению технического осмотра.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Оператор технического осмотра устанавливает тождественность идентификационного номера транспортного средства и (или) </w:t>
      </w:r>
      <w:r>
        <w:rPr>
          <w:rFonts w:ascii="Times New Roman" w:hAnsi="Times New Roman" w:cs="Times New Roman"/>
          <w:sz w:val="24"/>
          <w:szCs w:val="24"/>
        </w:rPr>
        <w:t>идентификационных номеров основных компонентов транспортного средства (кузова, рамы, кабины) и данных, содержащихся в свидетельстве о регистрации транспортного средства или паспорте транспортного средства (выписке из электронного паспорта транспортного сре</w:t>
      </w:r>
      <w:r>
        <w:rPr>
          <w:rFonts w:ascii="Times New Roman" w:hAnsi="Times New Roman" w:cs="Times New Roman"/>
          <w:sz w:val="24"/>
          <w:szCs w:val="24"/>
        </w:rPr>
        <w:t xml:space="preserve">дства). (в ред. Постановления Правительства РФ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09.12.2023 N 2092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несоответствии данных транспортного средства, в том числе его идентификационного номера и (или) идент</w:t>
      </w:r>
      <w:r>
        <w:rPr>
          <w:rFonts w:ascii="Times New Roman" w:hAnsi="Times New Roman" w:cs="Times New Roman"/>
          <w:sz w:val="24"/>
          <w:szCs w:val="24"/>
        </w:rPr>
        <w:t xml:space="preserve">ификационных номеров его основных компонентов (кузова, рамы, кабины), данным документов, идентифицирующих это транспортное средство, оператор технического осмотра вносит в единую автоматизированную информационную систему технического осмотра информацию об </w:t>
      </w:r>
      <w:r>
        <w:rPr>
          <w:rFonts w:ascii="Times New Roman" w:hAnsi="Times New Roman" w:cs="Times New Roman"/>
          <w:sz w:val="24"/>
          <w:szCs w:val="24"/>
        </w:rPr>
        <w:t>отказе в оказании услуг по проведению технического осмотра. Такая информация содержит указание на выявленные несоответствия.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соответствии данных транспортного средства данным документов, идентифицирующих транспортное средство, это транспортное средство</w:t>
      </w:r>
      <w:r>
        <w:rPr>
          <w:rFonts w:ascii="Times New Roman" w:hAnsi="Times New Roman" w:cs="Times New Roman"/>
          <w:sz w:val="24"/>
          <w:szCs w:val="24"/>
        </w:rPr>
        <w:t xml:space="preserve"> допускается к проведению технического диагностирования.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начала проведения технического диагностирования заявителем производится оплата услуг, оказываемых по договору о проведении технического осмотра, что подтверждает заключение указанного договора.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Техническое диагностирование осуществляется техническими экспертами, отвечающими квалификационным требованиям, установленным Министерством промышленности и торговли Российской Федерации, которые уполномочены оператором технического осмотра на проведение </w:t>
      </w:r>
      <w:r>
        <w:rPr>
          <w:rFonts w:ascii="Times New Roman" w:hAnsi="Times New Roman" w:cs="Times New Roman"/>
          <w:sz w:val="24"/>
          <w:szCs w:val="24"/>
        </w:rPr>
        <w:t>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Техническое диагностирование проводится с помощью сред</w:t>
      </w:r>
      <w:r>
        <w:rPr>
          <w:rFonts w:ascii="Times New Roman" w:hAnsi="Times New Roman" w:cs="Times New Roman"/>
          <w:sz w:val="24"/>
          <w:szCs w:val="24"/>
        </w:rPr>
        <w:t>ств технического диагностирования и методов органолептического контроля на пунктах технического осмотра или с использованием передвижных диагностических линий, обеспечивающих выполнение в полном объеме процедуры технического осмотра в соответствии с требов</w:t>
      </w:r>
      <w:r>
        <w:rPr>
          <w:rFonts w:ascii="Times New Roman" w:hAnsi="Times New Roman" w:cs="Times New Roman"/>
          <w:sz w:val="24"/>
          <w:szCs w:val="24"/>
        </w:rPr>
        <w:t>аниями к производственно-технической базе, фотографическому изображению транспортного средства, точности определения координат места проведения технического диагностирования и требованиями документов, содержащихся в перечне документов по стандартизации, об</w:t>
      </w:r>
      <w:r>
        <w:rPr>
          <w:rFonts w:ascii="Times New Roman" w:hAnsi="Times New Roman" w:cs="Times New Roman"/>
          <w:sz w:val="24"/>
          <w:szCs w:val="24"/>
        </w:rPr>
        <w:t xml:space="preserve">язательное применение которых обеспечивает безопасность дорожного движения при его организации на территории Российской Федерации, утвержденном распоряжением Правительства Российской Федерации от 4 ноября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2438-р.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 Продолжительность техническог</w:t>
      </w:r>
      <w:r>
        <w:rPr>
          <w:rFonts w:ascii="Times New Roman" w:hAnsi="Times New Roman" w:cs="Times New Roman"/>
          <w:sz w:val="24"/>
          <w:szCs w:val="24"/>
        </w:rPr>
        <w:t xml:space="preserve">о диагностирования транспортных средств отдельных категорий приводится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к настоящим Правилам.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По результатам технического осмотра оператор оформляет в единой автоматизированной информационной системе технического осмотра диагностическую</w:t>
      </w:r>
      <w:r>
        <w:rPr>
          <w:rFonts w:ascii="Times New Roman" w:hAnsi="Times New Roman" w:cs="Times New Roman"/>
          <w:sz w:val="24"/>
          <w:szCs w:val="24"/>
        </w:rPr>
        <w:t xml:space="preserve"> карту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3, содержащую заключение о соответствии или несоответствии транспортного средства обязательным требованиям безопасности транспортных средств (подтверждающую или не подтверждающую допуск транспортного средства к участию</w:t>
      </w:r>
      <w:r>
        <w:rPr>
          <w:rFonts w:ascii="Times New Roman" w:hAnsi="Times New Roman" w:cs="Times New Roman"/>
          <w:sz w:val="24"/>
          <w:szCs w:val="24"/>
        </w:rPr>
        <w:t xml:space="preserve"> в дорожном движении), которая подписывается усиленной квалифицированной электронной подписью технического эксперта, проводившего техническое диагностирование транспортного средства.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запросу заявителя оператор технического осмотра выдает диагностическую</w:t>
      </w:r>
      <w:r>
        <w:rPr>
          <w:rFonts w:ascii="Times New Roman" w:hAnsi="Times New Roman" w:cs="Times New Roman"/>
          <w:sz w:val="24"/>
          <w:szCs w:val="24"/>
        </w:rPr>
        <w:t xml:space="preserve"> карту на бумажном носителе, которая заверяется подписью технического эксперта, проводившего техническое диагностирование, и печатью оператора технического осмотра.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заполнения диагностической карты утверждаются Министерством транспорта Российской Ф</w:t>
      </w:r>
      <w:r>
        <w:rPr>
          <w:rFonts w:ascii="Times New Roman" w:hAnsi="Times New Roman" w:cs="Times New Roman"/>
          <w:sz w:val="24"/>
          <w:szCs w:val="24"/>
        </w:rPr>
        <w:t>едерации.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Транспортное средство, в отношении которого оформлена диагностическая карта, содержащая заключение о несоответствии транспортного средства обязательным требованиям безопасности транспортных средств (не подтверждающая допуск транспортного сред</w:t>
      </w:r>
      <w:r>
        <w:rPr>
          <w:rFonts w:ascii="Times New Roman" w:hAnsi="Times New Roman" w:cs="Times New Roman"/>
          <w:sz w:val="24"/>
          <w:szCs w:val="24"/>
        </w:rPr>
        <w:t xml:space="preserve">ства к участию в дорожном движении), подлежит повторному техническому осмотру, проводимому в порядке, предусмотренном настоящими Правилами, с учетом особенностей, установленных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Федерации".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Особенности проведения технического осмотра вне пунктов технического осмотра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Проведение </w:t>
      </w:r>
      <w:r>
        <w:rPr>
          <w:rFonts w:ascii="Times New Roman" w:hAnsi="Times New Roman" w:cs="Times New Roman"/>
          <w:sz w:val="24"/>
          <w:szCs w:val="24"/>
        </w:rPr>
        <w:t xml:space="preserve">технического осмотра вне пунктов технического осмотра организуется с использованием передвижных диагностических линий в целях выполнения нормативов минимальной обеспеченности населения пунктами технического осмотра, предусмотренных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Оператор технического осмотра, являющий</w:t>
      </w:r>
      <w:r>
        <w:rPr>
          <w:rFonts w:ascii="Times New Roman" w:hAnsi="Times New Roman" w:cs="Times New Roman"/>
          <w:sz w:val="24"/>
          <w:szCs w:val="24"/>
        </w:rPr>
        <w:t>ся владельцем передвижной диагностической линии, проводит технический осмотр с использованием передвижной диагностической линии в границах субъекта Российской Федерации, в котором расположен пункт технического осмотра такого оператора технического осмотра.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Адреса (координаты) мест проведения технического осмотра, в том числе с использованием передвижной диагностической линии, во входящих в состав субъекта Российской Федерации муниципальных образованиях, в которых не соблюдаются нормативы минимальной обе</w:t>
      </w:r>
      <w:r>
        <w:rPr>
          <w:rFonts w:ascii="Times New Roman" w:hAnsi="Times New Roman" w:cs="Times New Roman"/>
          <w:sz w:val="24"/>
          <w:szCs w:val="24"/>
        </w:rPr>
        <w:t>спеченности населения пунктами технического осмотра, согласовываются оператором технического осмотра с исполнительным органом государственной власти субъекта Российской Федерации, уполномоченным на принятие мер по организации проведения технического осмотр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График работы пункта технического осмотра, использующего передвижную диагностическую линию (с учетом климатических условий эксплуатации, установленных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заводом-изготовителем передвижных диагностических линий), согласовывается с исполнительным органом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власти субъекта Российской Федерации, уполномоченным на принятие мер по организации технического осмотра в регионе.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Порядок аннулирования диагностической карты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В случаях, указанных в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19 Федерального закона "О техническом осмотре транспортных средств и о внесении изменений в отдельные законодательные акты Российской Федерации", диагностич</w:t>
      </w:r>
      <w:r>
        <w:rPr>
          <w:rFonts w:ascii="Times New Roman" w:hAnsi="Times New Roman" w:cs="Times New Roman"/>
          <w:sz w:val="24"/>
          <w:szCs w:val="24"/>
        </w:rPr>
        <w:t>еская карта аннулируется органом федерального государственного контроля (надзора) в области безопасности дорожного движения путем внесения уполномоченным должностным лицом этого органа соответствующих сведений в единую автоматизированную информационную сис</w:t>
      </w:r>
      <w:r>
        <w:rPr>
          <w:rFonts w:ascii="Times New Roman" w:hAnsi="Times New Roman" w:cs="Times New Roman"/>
          <w:sz w:val="24"/>
          <w:szCs w:val="24"/>
        </w:rPr>
        <w:t xml:space="preserve">тему технического осмотра на основании решения руководителя (заместителя руководителя) такого органа одновременно с выдачей предписания об устранении выявленных нарушений обязательных требований. (в ред. Постановления Правительства РФ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09.12.2023 N 2092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Орган федерального государственного контроля (надзора) в области безопасности дорожного движения в течение 3 рабочих дней со дня аннулирования диагностической карты инфо</w:t>
      </w:r>
      <w:r>
        <w:rPr>
          <w:rFonts w:ascii="Times New Roman" w:hAnsi="Times New Roman" w:cs="Times New Roman"/>
          <w:sz w:val="24"/>
          <w:szCs w:val="24"/>
        </w:rPr>
        <w:t>рмирует о таком аннулировании страховщика, заключившего договор обязательного страхования гражданской ответственности владельцев транспортных средств на основании такой диагностической карты, и (или) профессиональное объединение страховщиков, а также собст</w:t>
      </w:r>
      <w:r>
        <w:rPr>
          <w:rFonts w:ascii="Times New Roman" w:hAnsi="Times New Roman" w:cs="Times New Roman"/>
          <w:sz w:val="24"/>
          <w:szCs w:val="24"/>
        </w:rPr>
        <w:t xml:space="preserve">венника транспортного средства и оператора технического осмотра, оформившего эту диагностическую карту. (в ред. Постановления Правительства РФ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09.12.2023 N 2092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 проведения технического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осмотра транспортных средств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ОБЯЗАТЕЛЬНЫЕ ТРЕБОВАНИЯ БЕЗОПАСНОСТИ, ПРЕДЪЯВЛЯЕМЫЕ ПРИ ПРОВЕДЕНИИ ТЕХНИЧЕСКОГО ОСМОТРА К ТРАНСПОРТНЫМ СРЕДСТВАМ ОТДЕЛЬНЫХ КАТЕГОРИЙ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Постановления Правительства РФ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09.03.2022 N 306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500"/>
        <w:gridCol w:w="750"/>
        <w:gridCol w:w="500"/>
        <w:gridCol w:w="750"/>
        <w:gridCol w:w="500"/>
        <w:gridCol w:w="750"/>
        <w:gridCol w:w="1500"/>
        <w:gridCol w:w="1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транспортных средств &lt;1&gt;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Тормозные системы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Показатели эффективности тормозной системы и усто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йчивости транспортного средства должны соответствовать требованиям пунктов </w:t>
            </w:r>
            <w:hyperlink r:id="rId2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1.6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1.8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1.10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техническому регламенту Таможенного союза "О безопасности 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сных транспортных средств" (ТР ТС 018/2011), утвержденному решением Комиссии Таможенного союза от 9 декабря 2011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877 (далее - ТР ТС 018/2011)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 проверках на стендах допускается относительная разность тормозных сил колес оси сог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ласно </w:t>
            </w:r>
            <w:hyperlink r:id="rId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пункту 1.4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Рабочая тормозная система автопоездов с пневматическим тормозным приводом в режиме аварийного (автом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атического) торможения должна быть работоспособна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Утечки сжатого воздуха из колесных тормозных камер не допускаются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Подтекания тормозной жидкости, нарушения герметичности трубопроводов или соединений в гидравличе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 тормозном приводе не допускаются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Наличие деталей с трещинами или остаточной деформацией в тормозном приводе не допускается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Средства сигнализации и контроля тормозных систем, манометры пневматического и пневм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огидравлического тормозного привода, устройство фиксации органа управления стояночной тормозной системы должны быть работоспособны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Набухание тормозных шлангов под давлением, наличие трещин на них и видимых мест перетирания не допускаю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Расположение и длина соединительных шлангов пневматического тормозного привода автопоездов должны исключать их повреждения при взаимных перемещениях тягача и прицепа (полуприцепа)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Рулевое управление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усилия при повороте рулевого колеса должно быть плавным во всем диапазоне угла его поворота. Неработоспособность усилителя рулевого управления транспортного средства (при его наличии на транспортном средстве) не допускается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Самопроизвольный поворот рулевого колеса с усилителем рулевого управления от нейтрального положения при работающем двигателе не допускается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Суммарный люфт в рулевом управлении не должен превышать предельных значений, установленных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зготовителем транспортного средства, а при отсутствии указанных данных - предельных значений, указанных в </w:t>
            </w:r>
            <w:hyperlink r:id="rId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пункте 2.3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Повреждения и отсутствие деталей крепления рулевой колонки и картера рулевого механизма не допускаются. Резьбовые соединения должны быть затянуты и зафиксированы способом, предусмотренным изготовителем транспортного средства. Люфт в соединениях рычагов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оротных цапф и шарнирах рулевых тяг не допускается. Устройство фиксации положения рулевой колонки с регулируемым положением рулевого колеса должно быть работоспособно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Применение в рулевом механизме и рулевом приводе деталей со следам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остаточной деформации, с трещинами, неработоспособность или отсутствие предусмотренного изготовителем транспортного средства в эксплуатационной документации транспортного средства рулевого демпфера и усилителя рулевого управления не допускаются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Максимальный поворот рулевого колеса должен ограничиваться только устройствами, предусмотренными конструкцией транспортного средства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Внешние световые приборы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На транспортных средствах применение устройств освещ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и световой сигнализации определяется требованиями пунктов </w:t>
            </w:r>
            <w:hyperlink r:id="rId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3.1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3.6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hyperlink r:id="rId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таблицы 3.1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Сигналы торможения (основные и дополнительные) должны включаться при воздействии на органы управления рабочей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аварийной тормозных систем и работать в постоянном режиме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Углы регулировки и сила света фар должны соответствовать требованиям пунктов </w:t>
            </w:r>
            <w:hyperlink r:id="rId3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3.8.4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3.8.8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Изменение мест расположения и демонтаж предусмотренных конструкцией внешних световых приборов не допускаются &lt;2&gt;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Следующие компоненты транспортных средств согласно их типу должны соответствовать требованиям пунктов </w:t>
            </w:r>
            <w:hyperlink r:id="rId3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приложения N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ТР ТС 018/2011: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светоотражающая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аркировка - </w:t>
            </w:r>
            <w:hyperlink r:id="rId3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пункту 3.7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фары ближнего и дальнего света и противотуманные - </w:t>
            </w:r>
            <w:hyperlink r:id="rId3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пункту 3.8.1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света в фарах - </w:t>
            </w:r>
            <w:hyperlink r:id="rId3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пункту 3.8.2</w:t>
              </w:r>
            </w:hyperlink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Стеклоочистители и стеклоомыватели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Стеклоочистители и стеклоомыватели должны быть работоспособны.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 демонтаж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изготовителем транспортного средства в эксплуатационной документации транспортного средства стеклоочистителей и стеклоомывателей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Шины и колеса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Высота рисунка протектора шин должна соответство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требованиям пунктов </w:t>
            </w:r>
            <w:hyperlink r:id="rId3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5.6.1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5.6.3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Шина считается непригодной к эксплуатации в случаях, установленных </w:t>
            </w:r>
            <w:hyperlink r:id="rId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пунктом 5.6.5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Отсутствие хотя бы одного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олта или гайки крепления дисков и ободьев колес не допускается. Замена золотников заглушками, пробками и другими приспособлениями не допускается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Наличие трещин на дисках и ободьях колес, следов их устранения сваркой, а также видимые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формы и размеров крепежных отверстий в дисках колес не допускаются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Установка на одну ось транспортного средства шин разных размеров, конструкций (радиальной, диагональной, камерной, бескамерной), моделей, с разными рисункам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протектора, морозостойких и неморозостойких, новых и восстановленных, новых и с углубленным рисунком протектора не допускается. Шины с шипами противоскольжения в случае их применения должны быть установлены на все колеса транспортного средства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Двигатель и его системы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Содержание загрязняющих веществ в отработавших газах транспортных средств должно соответствовать требованиям пунктов </w:t>
            </w:r>
            <w:hyperlink r:id="rId4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9.1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4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9.2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Подтекание и каплепадение топлива в системе питания бензиновых и дизельных двигателей не допускаются. Подсос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духа и (или) утечка отработавших газов, минуя систему выпуска, не допускаются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Запорные устройства топливных баков и устройства перекрытия топлива должны быть работоспособны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Система питания газобаллонных транспо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ртных средств, ее размещение и установка должны соответствовать требованиям </w:t>
            </w:r>
            <w:hyperlink r:id="rId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пункта 9.8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Прочие элементы конструкц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Транспортное средство должно быть укомплектовано обеспечивающими поля обзора зеркалами заднего вида согласно </w:t>
            </w:r>
            <w:hyperlink r:id="rId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таблице 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018/2011. При отсутс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 обзора через задние стекла легковых автомобилей необходима установка наружных зеркал заднего вида с обеих сторон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 Светопропускание ветрового стекла и стекол, через которые обеспечивается передняя обзорность для 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ля, должно соответствовать требованиям </w:t>
            </w:r>
            <w:hyperlink r:id="rId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пункта 4.3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 Наличие трещин на ветровых стеклах транспортных средств в зоне 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тки стеклоочистителем половины стекла, расположенной со стороны водителя, не допускается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 Замки дверей кузова или кабины, механизмы регулировки и фиксирующие устройства сидений водителя, устройство обогрева и обдува ветрового стекла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олжны быть работоспособны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 Запоры бортов грузовой платформы и запоры горловин цистерн должны быть работоспособны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 Аварийный выключатель дверей, аварийные выходы и устройства приведения их в действие должны быть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аботоспособны. Аварийные выходы должны быть обозначены и иметь таблички, содержащие правила их использования. Должен быть обеспечен свободный доступ к аварийным выходам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 Транспортное средство должно быть укомплектовано звуковым сигнал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ьным прибором в рабочем состоянии. Звуковой сигнальный прибор должен при приведении в действие органа его управления издавать непрерывный и монотонный звук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 Не допускается наличие дополнительных предметов или покрытий, ограничивающих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обзорность с места водителя (за исключением зеркал заднего вида, деталей стеклоочистителей, наружных и нанесенных или встроенных в стекла радиоантенн, нагревательных элементов устройств размораживания и осушения ветрового стекла). В верхней части ветрового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стекла допускается крепление полосы прозрачной цветной пленки шириной, соответствующей требованиям </w:t>
            </w:r>
            <w:hyperlink r:id="rId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пункта 4.3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 Задние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боковые защитные устройства должны соответствовать требованиям </w:t>
            </w:r>
            <w:hyperlink r:id="rId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раздела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 Замок седельно-сцепного устройства седел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автомобилей-тягачей должен после сцепки закрываться автоматически. Ручная и автоматическая блокировки седельно-сцепного устройства должны предотвращать самопроизвольное расцепление тягача и полуприцепа. Деформации, разрывы, трещины и другие видимые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вреждения сцепного шкворня, гнезда шкворня, опорной плиты, тягового крюка, шара тягово-сцепного устройства, трещины, разрушения, в том числе местные, или отсутствие деталей сцепных устройств и их крепления не допускаются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 Одноосные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ицепы (за исключением роспусков) и прицепы, не оборудованные рабочей тормозной системой, должны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оборудованы предохранительными приспособлениями (цепями, тросами), которые должны быть работоспособны. Длина предохранительных цепей (тросов) должна предот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вращать контакт сцепной петли дышла с дорожной поверхностью и при этом обеспечивать управление прицепом в случае обрыва (поломки) тягово-сцепного устройства. Предохранительные цепи (тросы) не должны крепиться к деталям тягово-сцепного устройства или деталя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его крепления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 Прицепы (за исключением одноосных и роспусков) должны быть оборудованы устройством, поддерживающим сцепную петлю дышла в положении, облегчающем сцепку и расцепку с тяговым автомобилем. Деформации сцепной петли или дыш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прицепа, грубо нарушающие их положение относительно продольной центральной плоскости симметрии прицепа, разрывы, трещины и другие видимые повреждения сцепной петли или дышла прицепа не допускаются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 Продольный люфт в беззазорных тяг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ово-сцепных устройствах с тяговой вилкой для сцепленного с прицепом тягача не допускается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 Места для сидения в транспортных средствах, конструкция которых предусматривает наличие ремней безопасности, должны быть ими оборудованы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ветствии с требованиями нормативных правовых актов, действовавших на дату выпуска транспортного средства в обращение. Ремни безопасности не должны иметь следующих дефектов: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надрыв на лямке, видимый невооруженным глазом;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замок не фиксирует "язык" лямки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выбрасывает его после нажатия на кнопку замыкающего устройства;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лямка не вытягивается или не втягивается во втягивающее устройство (катушку);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резком вытягивании лямки ремня не обеспечивается прекращение (блокирование) ее вытягивания из втягивающего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устройства (катушки)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 Поручни в автобусах, запасное колесо, аккумуляторные батареи, сиденья, а также огнетушители и медицинская аптечка на транспортных средствах, оборудованных приспособлениями для их крепления, должны быть надежно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креплены в местах, предусмотренных конструкцией транспортного средства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 На транспортных средствах, оборудованных механизмами продольной регулировки положения подушки и угла наклона спинки сиденья или механизмом перемещения сиденья (дл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посадки и высадки пассажиров), указанные механизмы должны быть работоспособны. После прекращения регулирования или пользования эти механизмы должны автоматически блокироваться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 Транспортные средства технически допустимой максимально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массой свыше 7,5 тонны должны быть оборудованы надколесными грязезащитными устройствами. Ширина этих устройств должна быть не менее ширины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применяемых шин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 Вертикальная статическая нагрузка на тяговое устройство автомобиля от цепной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петли одноосного прицепа (прицепа-роспуска) в снаряженном состоянии должна соответствовать требованиям </w:t>
            </w:r>
            <w:hyperlink r:id="rId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пункта 2.3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 ТР ТС 018/2011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ржатель запасного колеса, лебедка и механизм подъема-опускания запасного колеса должны быть работоспособны. Храповое устройство лебедки должно четко фиксировать барабан с крепежным канатом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 Механизмы подъема и опускания опор и фиксато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 транспортного положения опор, предназначенные для предотвращения их самопроизвольного опускания при движении транспортного средства, должны быть работоспособны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 На транспортных средствах, оснащенных устройствами или системами вызов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экстренных оперативных служб, такие устройства или системы должны быть работоспособны (наличие двухсторонней голосовой связи с оператором вызова экстренных оперативных служб)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 Изменения в конструкции транспортного средства, внесенны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 нарушение требований, установленных </w:t>
            </w:r>
            <w:hyperlink r:id="rId5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разделом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 ТС 018/2011, не допускаются &lt;3&gt;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53. Транспортные средства категорий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должны отвечать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дополнительным требованиям, установленным в </w:t>
            </w:r>
            <w:hyperlink r:id="rId5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разделе 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 Специальные и специализированные транспортные средства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отвечать следующим дополнительным требованиям: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транспортные средства оперативных служб - установленным в </w:t>
            </w:r>
            <w:hyperlink r:id="rId5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разделе 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018/2011;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зированные транспортные средства - установленным пунктами </w:t>
            </w:r>
            <w:hyperlink r:id="rId5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15.1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15.4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15.6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018/2011;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транспортные средства для коммунального хозяйства и содержания дорог - установленным пунктами </w:t>
            </w:r>
            <w:hyperlink r:id="rId5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16.2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16.4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5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16.5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8/2011;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для перевозки грузов с использованием прицепа-роспуска - установленным пунктами </w:t>
            </w:r>
            <w:hyperlink r:id="rId5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17.3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17.4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018/2011;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автоэвакуаторы - установленным в </w:t>
            </w:r>
            <w:hyperlink r:id="rId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разделе 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018/2011;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с грузоподъемными устройствами - установленным в </w:t>
            </w:r>
            <w:hyperlink r:id="rId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разделе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018/2011;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для перевозки опасных грузов - установленным пунктами </w:t>
            </w:r>
            <w:hyperlink r:id="rId6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20.1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20.4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20.9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20.13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подпунктами </w:t>
            </w:r>
            <w:hyperlink r:id="rId6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20.14.3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20.14.11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20.14.13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20.14.26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20.14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018/2011;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средства-цистерны - установленным </w:t>
            </w:r>
            <w:hyperlink r:id="rId7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пунктом 21.1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подпунктами </w:t>
            </w:r>
            <w:hyperlink r:id="rId7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21.2.1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7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21.2.2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21.2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018/2011;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средства-цистерны для перевозки и заправки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нефтепродуктов - установленным пунктами </w:t>
            </w:r>
            <w:hyperlink r:id="rId7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22.4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22.9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018/2011;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средства-цистерны для перевозки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заправки сжиженных углеводородных газов - установленным в </w:t>
            </w:r>
            <w:hyperlink r:id="rId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разделе 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018/2011;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средства-фургоны - установленным в </w:t>
            </w:r>
            <w:hyperlink r:id="rId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разделе 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018/2011;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средства-фургоны, имеющие места для перевозки людей, - установленным подпунктами </w:t>
            </w:r>
            <w:hyperlink r:id="rId8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25.1.1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8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25.1.3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25.1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 ТР ТС 018/2011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 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нспортное средство должно быть оснащено тахографом или контрольным устройством (тахографом) регистрации режима труда и отдыха водителей транспортных средств, предусмотренным Европейским соглашением, касающимся работы экипажей транспортных средств,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ящих международные автомобильные перевозки (ЕСТР) &lt;4&gt;. Тахограф должен иметь настройку, проведенную не позднее 3 лет до дня представления транспортного средства на очередной технический осмотр, выводить на печать информацию о регистрационных данных транспо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ртного средства (идентификационный номер, государственный регистрационный номер (при их наличии), номере активизированного в составе этого тахографа программно-аппаратного шифровального (криптографического) средства, текущей дате и времени, а сведения о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зультатах поверки тахографа, подтверждающие его пригодность для применения, содержатся в Федеральном информационном фонде по обеспечению единства измерений.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устройство (тахограф) должно быть проверено, в том числе откалибровано,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требованиями ЕСТР, не позднее 2 лет до дня представления транспортного средства на очередной технический осмотр, иметь знак официального утверждения типа. На транспортном средстве, оснащенном контрольным устройством (тахографом) (либо на самом 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устройстве (тахографе), должна быть размещена установочная табличка с информацией о характеристическом коэффициенте транспортного средства и дате его определения, об эффективной окружности шин колес и о дате их измерения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Категории транспортных средств соответствуют классификации, установленной в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техническому регламенту Таможенного союз</w:t>
      </w:r>
      <w:r>
        <w:rPr>
          <w:rFonts w:ascii="Times New Roman" w:hAnsi="Times New Roman" w:cs="Times New Roman"/>
          <w:sz w:val="24"/>
          <w:szCs w:val="24"/>
        </w:rPr>
        <w:t>а "О безопасности колесных транспортных средств" (ТР ТС 018/2011).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Требование, предусмотренное настоящим пунктом, не препятствует установке световых приборов в целях устранения несоответствия другим требованиям к внешним световым приборам. На транспорт</w:t>
      </w:r>
      <w:r>
        <w:rPr>
          <w:rFonts w:ascii="Times New Roman" w:hAnsi="Times New Roman" w:cs="Times New Roman"/>
          <w:sz w:val="24"/>
          <w:szCs w:val="24"/>
        </w:rPr>
        <w:t xml:space="preserve">ных средствах, снятых с производства, допускается замена внешних световых приборов на такие приборы, используемые на транспортных средствах других типов, при условии соблюдения требований технического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регламента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Таможенного союза "О безопасности колесных транспортных средств" (ТР ТС 018/2011).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Внесение изменений в конструкцию транспортного средства подтверждается </w:t>
      </w:r>
      <w:r>
        <w:rPr>
          <w:rFonts w:ascii="Times New Roman" w:hAnsi="Times New Roman" w:cs="Times New Roman"/>
          <w:sz w:val="24"/>
          <w:szCs w:val="24"/>
        </w:rPr>
        <w:lastRenderedPageBreak/>
        <w:t>разрешением на внесение изменений в конструкцию находящегос</w:t>
      </w:r>
      <w:r>
        <w:rPr>
          <w:rFonts w:ascii="Times New Roman" w:hAnsi="Times New Roman" w:cs="Times New Roman"/>
          <w:sz w:val="24"/>
          <w:szCs w:val="24"/>
        </w:rPr>
        <w:t xml:space="preserve">я в эксплуатации колесного транспортного средства и протоколом проверки безопасности конструкции транспортного средства после внесенных в нее изменений в соответствии с постановлением Правительства Российской Федерации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6 апреля 2019 г. N 413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Правил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</w:t>
      </w:r>
      <w:r>
        <w:rPr>
          <w:rFonts w:ascii="Times New Roman" w:hAnsi="Times New Roman" w:cs="Times New Roman"/>
          <w:sz w:val="24"/>
          <w:szCs w:val="24"/>
        </w:rPr>
        <w:t>регламента Таможенного союза "О безопасности колесных транспортных средств" или наличием соответствующей записи в свидетельстве о регистрации транспортного средства.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В случае если транспортное средство подлежит оснащению тахографом в соответствии с тре</w:t>
      </w:r>
      <w:r>
        <w:rPr>
          <w:rFonts w:ascii="Times New Roman" w:hAnsi="Times New Roman" w:cs="Times New Roman"/>
          <w:sz w:val="24"/>
          <w:szCs w:val="24"/>
        </w:rPr>
        <w:t>бованием законодательства Российской Федерации или контрольным устройством (тахографом) в соответствии с требованиями законодательства Российской Федерации и требованиями Европейского соглашения, касающегося работы экипажей транспортных средств, производящ</w:t>
      </w:r>
      <w:r>
        <w:rPr>
          <w:rFonts w:ascii="Times New Roman" w:hAnsi="Times New Roman" w:cs="Times New Roman"/>
          <w:sz w:val="24"/>
          <w:szCs w:val="24"/>
        </w:rPr>
        <w:t>их международные автомобильные перевозки (ЕСТР).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 Символ "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" означает, что требование применяется к транспортному средству соответствующей категории. Символ "-" означает, что требование не применяется к транспортному средству соответствующей кат</w:t>
      </w:r>
      <w:r>
        <w:rPr>
          <w:rFonts w:ascii="Times New Roman" w:hAnsi="Times New Roman" w:cs="Times New Roman"/>
          <w:sz w:val="24"/>
          <w:szCs w:val="24"/>
        </w:rPr>
        <w:t>егории.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1 действует с 01.03.2021 до 01.03.2027 (</w:t>
      </w:r>
      <w:hyperlink r:id="rId8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 проведения технического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осмотра транспортных средств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ПРОДОЛЖИТЕЛЬНОСТЬ ТЕХНИЧЕ</w:t>
      </w:r>
      <w:r>
        <w:rPr>
          <w:rFonts w:ascii="Times New Roman" w:hAnsi="Times New Roman" w:cs="Times New Roman"/>
          <w:b/>
          <w:bCs/>
          <w:sz w:val="36"/>
          <w:szCs w:val="36"/>
        </w:rPr>
        <w:t>СКОГО ДИАГНОСТИРОВАНИЯ ТРАНСПОРТНЫХ СРЕДСТВ ОТДЕЛЬНЫХ КАТЕГОРИЙ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4241"/>
        <w:gridCol w:w="2829"/>
        <w:gridCol w:w="20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транспортных средств (или категория транспортного средства, на базе которого изготовлено специальное транспортное средство) &lt;1&gt;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техниче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диагностирования &lt;2&gt;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используемые для перевозки пассажиров и имеющие, помимо места водителя, не более 8 мест для сидения - легковые автомобили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используемые для перевозки пассажиров, имеющие,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помимо места водителя, более 8 мест для сидения, технически допустимая максимальная масса которых не превышает 5 тонн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используемые для перевозки пассажиров, имеющие, помимо места водителя, более 8 мест для сидения, техниче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 допустимая максимальная масса которых превышает 5 тонн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предназначенные для перевозки грузов, имеющие технически допустимую максимальную массу не более 3,5 тонны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предназначенные для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возки грузов, имеющие технически допустимую максимальную массу свыше 3,5 тонны, но не более 12 тонн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предназначенные для перевозки грузов, имеющие технически допустимую максимальную массу более 12 тонн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Прицепы,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ехнически допустимая максимальная масса которых не более 0,75 тонны, и прицепы, технически допустимая максимальная масса которых свыше 0,75 тонны, но не более 3,5 тонны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Прицепы, технически допустимая максимальная масса которых свыше 3,5 тонны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не более 10 тонн, и прицепы, технически допустимая максимальная масса которых более 10 тонн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транспортные средства оперативных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транспортные средства оперативных служб, цистерны, цистерны для перевозки и заправки сжиженных углеводородных газов, фургоны, фургоны, имеющие места для перевозки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юдей, автоэвакуаторы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транспортные средства оперативных служб, автоэвакуаторы, транспортные средства с грузоподъемными устройствами, цистерны, цистерны для перевозки и заправки сжиженных углеводородных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газов, фургоны, транспортные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едства для перевозки пищевых продуктов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транспортные средства оперативных служб, автоэвакуаторы, транспортные средства с грузоподъемными устройствами, цистерны, цистерны для перевозки и заправки сжиженных углеводородных газов, фургон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транспортные средства для перевозки пищевых продуктов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транспортные средства оперативных служб, цистерны, цистерны для перевозки и заправки сжиженных углеводородных газов, транспортные средства для перевозки пищевых продуктов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транспортные средства оперативных служб, автоэвакуаторы,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ищевых продуктов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Специализированные транспортные средства, цистерны для перевозки и заправки нефтепродуктов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Специализированные транспортные средства, цистерны для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возки и заправки нефтепродуктов, транспортные средства - фургоны, имеющие места для перевозки людей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Специализированные транспортные средства, фургоны, имеющие места для перевозки людей, цистерны для перевозки и заправки нефтепродуктов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Специализированные транспортные средства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Специализированные транспортные средства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транспортные средства для коммунального хозяйства и содержания дорог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транспортные средства для коммунальн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хозяйства и содержания дорог, транспортные средства для перевозки грузов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прицепа-роспуска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транспортные средства для коммунального хозяйства и содержания дорог, транспортные средства для перевозки грузов с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зованием прицепа-роспуска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транспортные средства для коммунальн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тные средства для перевозки опасных грузов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Категории транспортных средств соответствуют кл</w:t>
      </w:r>
      <w:r>
        <w:rPr>
          <w:rFonts w:ascii="Times New Roman" w:hAnsi="Times New Roman" w:cs="Times New Roman"/>
          <w:sz w:val="24"/>
          <w:szCs w:val="24"/>
        </w:rPr>
        <w:t xml:space="preserve">ассификации, установленной в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приложении N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техническому регламенту Таможенного союза "О безопасности колесных транспортных средств" (ТР ТС 018/2011).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Продолжительнос</w:t>
      </w:r>
      <w:r>
        <w:rPr>
          <w:rFonts w:ascii="Times New Roman" w:hAnsi="Times New Roman" w:cs="Times New Roman"/>
          <w:sz w:val="24"/>
          <w:szCs w:val="24"/>
        </w:rPr>
        <w:t>ть указана из расчета проведения технического диагностирования транспортного средства одним техническим экспертом и может быть уменьшена с учетом особенностей организации проведения отдельных технологических операций (характеристик диагностического оборудо</w:t>
      </w:r>
      <w:r>
        <w:rPr>
          <w:rFonts w:ascii="Times New Roman" w:hAnsi="Times New Roman" w:cs="Times New Roman"/>
          <w:sz w:val="24"/>
          <w:szCs w:val="24"/>
        </w:rPr>
        <w:t>вания и используемого программного обеспечения, количества постов диагностики, количества технических экспертов, проводящих техническое диагностирование нескольких транспортных средств одновременно).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2 действует с 01.03.2021 до 01.03.2027 (</w:t>
      </w:r>
      <w:hyperlink r:id="rId8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 проведения технического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осмотра транспортных средств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(форма)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ДИАГНОСТИЧЕСКАЯ КАРТА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Постановления Правительства РФ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09.03.2022 N 306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technical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inspection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0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33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до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0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1500"/>
        <w:gridCol w:w="1500"/>
        <w:gridCol w:w="1500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Оператор технического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осмотра: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технического осмотра (передвижная диагностическая линия):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проверка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Повторная проверка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ТС: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Марка, модель ТС: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ТС: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рамы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 ТС: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кузова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СРТС или ПТС (ЭПТС)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ерия, номер, выдан (оформлен) кем, когда):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Тахограф или контрольное устройство (тахограф) (марка, модель, серийный номер):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2490"/>
        <w:gridCol w:w="578"/>
        <w:gridCol w:w="676"/>
        <w:gridCol w:w="1995"/>
        <w:gridCol w:w="578"/>
        <w:gridCol w:w="367"/>
        <w:gridCol w:w="2190"/>
        <w:gridCol w:w="15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Тормозные системы</w:t>
            </w:r>
          </w:p>
        </w:tc>
        <w:tc>
          <w:tcPr>
            <w:tcW w:w="3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еклоочистители и стеклоомыватели</w:t>
            </w:r>
          </w:p>
        </w:tc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автоматического замка, ручной и автоматической блокировки седельно-сцепного устройства. Отсутствие видимых повреждений сцепных устройств</w:t>
            </w: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jc w:val="center"/>
        </w:trPr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показателей эффективности торможения и устойчив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торможения</w:t>
            </w: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работоспособность предусмотренных изготовителем транспортного средства стеклоочистителей и стеклоомывателей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jc w:val="center"/>
        </w:trPr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работоспособных предохранительных приспособлений у одноосных прицепов (за исключением роспуско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в) и прицепов, не оборудованных рабочей тормозной системой</w:t>
            </w: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разности тормозных сил установленным требованиям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Шины и колеса</w:t>
            </w:r>
          </w:p>
        </w:tc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jc w:val="center"/>
        </w:trPr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рабочей тормозной системы автопоездов с пневматическим тормозным приводом в режиме авар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ийного (автоматического) торможения</w:t>
            </w: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высоты рисунка протектора шин установленным требованиям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jc w:val="center"/>
        </w:trPr>
        <w:tc>
          <w:tcPr>
            <w:tcW w:w="11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прицепов (за исключением одноосных и роспусков) исправным устройством, поддерживающим сцепную петлю дышла в положении,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облегчающем сцепку и расцепку с тяговым автомобилем</w:t>
            </w: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непригодности шин к эксплуатации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утечек сжатого воздуха из колесных тормозных камер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всех болтов или гаек крепления дисков и ободьев колес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подтеканий тормозной жидкости, нарушения герметичности трубопроводов или соединений в гидравлическом тормозном приводе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трещин на дисках и ободьях колес, а также видимых нарушений формы и размеров крепежных отверстий в дисках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колес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продольного люфта в беззазорных тягово-сцепных устройствах с тяговой вилкой для сцепленного с прицепом тягача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трещин или остаточной деформации деталей тормозного привода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шин на транспортное средство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оответствии с требованиями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транспортных средств исправными ремнями безопасности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Исправность средств сигнализации и контроля тормозных систем. Работоспособность устройства фиксации органа управления стояночной тормозной системы, манометр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пневматического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пневмогидравлического тормозного привода</w:t>
            </w: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Двигатель и его системы</w:t>
            </w:r>
          </w:p>
        </w:tc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Надежное крепление поручней, запасного колеса, аккумуляторной батареи, сидений, огнетушителей и медицинской аптечки в автобусах</w:t>
            </w: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jc w:val="center"/>
        </w:trPr>
        <w:tc>
          <w:tcPr>
            <w:tcW w:w="11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содержания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загрязняющих веществ в отработавших газах транспортных средств установленным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Работоспособность механизмов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регулировки сидений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ствие подтекания и каплепадения топлива в системе питания, а также подсоса воздуха и (или) утечки отработавших газов, минуя систему выпуска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надколесных грязезащитных устройств, отвечающих установленным требованиям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jc w:val="center"/>
        </w:trPr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и длина сое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динительных шлангов пневматического тормозного привода автопоездов</w:t>
            </w: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вертикальной статической нагрузки на тяговое устройство автомобиля от сцепной петли одноосного прицепа (прицепа-роспуска) нормам</w:t>
            </w: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запорных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ройств и устройств перекрытия топлива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Рулевое управление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системы питания газобаллонных транспортных средств, ее размещения и установки установленным требованиям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держателя запасного колеса, лебедки и механизм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подъема-опускания запасного колеса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усилителя рулевого управления. Плавность изменения усилия при повороте рулевого колеса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Прочие элементы конструкции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механизмов подъема и опускания опор и фиксаторов 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нспортного положения опор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зеркал заднего вида в соответствии с требованиями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устройства или системы вызова экстренных оперативных служб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jc w:val="center"/>
        </w:trPr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нормам светопропускания ветрового стекла и стекол, через которые обеспечивается передняя обзорность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водителя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изменений в конструкции транспортного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внесенных в нарушение установленных требований</w:t>
            </w: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превышения предельных значений суммарного люфта в рулевом управлении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трещин на ветровом стекле в зоне очистки водительского стеклоочистителя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транспортных средств категорий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установленным дополнительным требованиям</w:t>
            </w: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jc w:val="center"/>
        </w:trPr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следов остаточной деформации, трещин и других дефекто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 рулевом механизме и рулевом приводе. Наличие и работоспособность предусмотренного изготовителем транспортного средства рулевого демпфера и (или) усилителя рулевого управления</w:t>
            </w: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замков дверей кузова, кабины, механизмов 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улировки и фиксирующих устройств сидений, устройства обогрева и обдува ветрового стекла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специальных и специализированных транспортных средств дополнительным требованиям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запоров бортов грузовой платформы и запоро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горловин цистерн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работоспособного тахографа или работоспособного контрольного устройства (тахографа)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не предусмотренных конструкцией устройств, ограничивающих поворот рулевого колеса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Внешние световые приборы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Работоспособность аварийного выключателя дверей, аварийных выходов и устройств приведения их в действие. Наличие обозначений аварийных выходов и табличек по правилам их использования.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свободного доступа к аварийным выходам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етствие устройств освещения и световой сигнализации установленным требованиям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работоспособного звукового сигнального прибора</w:t>
            </w:r>
          </w:p>
        </w:tc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и режим работы сигналов торможения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углов регулировки и силы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 фар установленным требованиям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расположение внешних световых приборов в местах, предусмотренных конструкцией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дополнительных предметов или покрытий, ограничивающих обзорность с места водителя. Соответствие полосы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енки в верхней части ветрового стекла установленным требованиям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источника света в фарах, формы, цвета и размера фар и их расположения. Наличие светоотражающей контурной маркировки, отсутствие ее повреждения и отслоения</w:t>
            </w: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задних и боковых защитных устройств, соответствие их нормам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1500"/>
        <w:gridCol w:w="1500"/>
        <w:gridCol w:w="1514"/>
        <w:gridCol w:w="175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диагностирования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Требования, по которым установлено несоответствие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диагностической карты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граница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проверки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граница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бования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Невыполненные требования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проверки (узел, деталь, агрегат)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невыполненного требования (с указанием нормативного источника)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5"/>
        <w:gridCol w:w="1800"/>
        <w:gridCol w:w="1800"/>
        <w:gridCol w:w="1800"/>
        <w:gridCol w:w="18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транспортного средства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без нагрузки:</w:t>
            </w:r>
          </w:p>
        </w:tc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Разрешенная максимальная масса: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топлива:</w:t>
            </w:r>
          </w:p>
        </w:tc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Пробег ТС: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тормозной системы:</w:t>
            </w:r>
          </w:p>
        </w:tc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шин: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газовом баллоне (газовых баллонах) (год выпуска, серийный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номер, даты последнего и очередного освидетельствования каждого газового баллона):</w:t>
            </w:r>
          </w:p>
        </w:tc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по газобаллонному оборудованию (номер свидетельства о проведении периодических испытаний газобаллонного оборудования и дата его очередного освидетельствования):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о соответствии или несоответствии транспортного средства обязательным требованиям безопасности транспортных средств (подтверждающее или не подтверждающее его допуск к участию в дорожном движении)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Failed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Results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roadworthiness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inspection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0"/>
        <w:gridCol w:w="16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Пункты диагностической карты, требующие повторной проверки: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490"/>
        <w:gridCol w:w="490"/>
        <w:gridCol w:w="490"/>
        <w:gridCol w:w="490"/>
        <w:gridCol w:w="490"/>
        <w:gridCol w:w="489"/>
        <w:gridCol w:w="489"/>
        <w:gridCol w:w="489"/>
        <w:gridCol w:w="489"/>
        <w:gridCol w:w="489"/>
        <w:gridCol w:w="1311"/>
        <w:gridCol w:w="489"/>
        <w:gridCol w:w="489"/>
        <w:gridCol w:w="489"/>
        <w:gridCol w:w="489"/>
        <w:gridCol w:w="489"/>
        <w:gridCol w:w="4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технический осмотр провести до: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1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технического эксперта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дпись</w:t>
            </w:r>
          </w:p>
        </w:tc>
        <w:tc>
          <w:tcPr>
            <w:tcW w:w="400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&lt;1&gt;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400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Stamp</w:t>
            </w: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Печать оператора технического осмотра проставляется в случае выдачи диагностической карты на бумажном носителе.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3 действует с 01.03.2021 до 01.03.2027 (</w:t>
      </w:r>
      <w:hyperlink r:id="rId89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15 сентября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1434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ИЗМЕНЕНИЯ, КОТОРЫЕ ВНОСЯТСЯ В АКТЫ ПРАВИТЕЛЬСТВА РОССИЙСКОЙ ФЕДЕРАЦИИ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Постановлений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26.10.2020 N 1742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30.06.2021 N 1101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Пункт утратил силу. (в ред. Постанов</w:t>
      </w:r>
      <w:r>
        <w:rPr>
          <w:rFonts w:ascii="Times New Roman" w:hAnsi="Times New Roman" w:cs="Times New Roman"/>
          <w:sz w:val="24"/>
          <w:szCs w:val="24"/>
        </w:rPr>
        <w:t xml:space="preserve">ления Правительства РФ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26.10.2020 N 1742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от 17 апреля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348 "О техническом осмотре транспортных средств органов, осуществляющих оперативно-разыскную деятельность" (Собрание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16, ст. 1975) слова "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технического осмотра транспортных средств, утвержденными постановлением Правительства Российской Федерации от 5 декабря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1008" заменить словами "Правилами проведения техничес</w:t>
      </w:r>
      <w:r>
        <w:rPr>
          <w:rFonts w:ascii="Times New Roman" w:hAnsi="Times New Roman" w:cs="Times New Roman"/>
          <w:sz w:val="24"/>
          <w:szCs w:val="24"/>
        </w:rPr>
        <w:t xml:space="preserve">кого осмотра транспортных средств, утвержденными постановлением Правительства Российской Федерации от 15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1434 "Об утверждении Правил проведения технического осмотра транспортных средств, а также о внесении изменений в некоторые акты Прав</w:t>
      </w:r>
      <w:r>
        <w:rPr>
          <w:rFonts w:ascii="Times New Roman" w:hAnsi="Times New Roman" w:cs="Times New Roman"/>
          <w:sz w:val="24"/>
          <w:szCs w:val="24"/>
        </w:rPr>
        <w:t>ительства Российской Федерации".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Пункт 2 действует с 01.03.2021 (</w:t>
      </w:r>
      <w:hyperlink r:id="rId9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В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Правилах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рганизации и проведения технического осмотра автобусов, утвержденных постановлением Правительства Российской Федерации от 23 мая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741 "Об утверждении Правил организации и проведения технического осмотра автобусов" (Собрание законодательства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3508):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техническог</w:t>
      </w:r>
      <w:r>
        <w:rPr>
          <w:rFonts w:ascii="Times New Roman" w:hAnsi="Times New Roman" w:cs="Times New Roman"/>
          <w:sz w:val="24"/>
          <w:szCs w:val="24"/>
        </w:rPr>
        <w:t xml:space="preserve">о осмотра транспортных средств, утвержденными постановлением Правительства Российской Федерации от 5 декабря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1008 "О проведении технического осмотра транспортных средств" заменить словами "Правилами проведения технического осмотра транспортных ср</w:t>
      </w:r>
      <w:r>
        <w:rPr>
          <w:rFonts w:ascii="Times New Roman" w:hAnsi="Times New Roman" w:cs="Times New Roman"/>
          <w:sz w:val="24"/>
          <w:szCs w:val="24"/>
        </w:rPr>
        <w:t xml:space="preserve">едств, утвержденными постановлением Правительства Российской Федерации от 15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ии";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"Приложение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 организации и проведения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технического осмотра автобусов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(в редакции постановления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Правительства Рос</w:t>
      </w:r>
      <w:r>
        <w:rPr>
          <w:rFonts w:ascii="Times New Roman" w:hAnsi="Times New Roman" w:cs="Times New Roman"/>
          <w:i/>
          <w:iCs/>
          <w:sz w:val="24"/>
          <w:szCs w:val="24"/>
        </w:rPr>
        <w:t>сийской Федерации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15 сентября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1434)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ДИАГНОСТИЧЕСКАЯ КАРТА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technical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inspection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72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5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40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96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до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40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технического осмотра: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технического осмотра (передвижная диагностическая линия):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проверка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Повторная проверка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знак ТС:</w:t>
            </w:r>
          </w:p>
        </w:tc>
        <w:tc>
          <w:tcPr>
            <w:tcW w:w="385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Марка, модель ТС: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</w:t>
            </w: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рамы</w:t>
            </w: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ТС: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кузова</w:t>
            </w: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 ТС: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СРТС или ПТС (ЭПТС) (серия, номер,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ыдан (оформлен) кем, когда):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Тахограф или контрольное устройство (тахограф) (марка, модель, серийный номер):</w:t>
            </w: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"/>
        <w:gridCol w:w="2022"/>
        <w:gridCol w:w="536"/>
        <w:gridCol w:w="702"/>
        <w:gridCol w:w="1995"/>
        <w:gridCol w:w="536"/>
        <w:gridCol w:w="702"/>
        <w:gridCol w:w="2020"/>
        <w:gridCol w:w="5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&lt;* &gt;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Тормозные системы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расположение фар и сигнальных фонарей в местах, предусмотренных конструкцией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аварийного выключателя дверей и сигнала требования остановки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источника света в фарах, формы, цвета и размера фар. Наличие светоотража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ющей контурной маркировки, отсутствие ее повреждения и отслоения.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Стеклоочистители и стеклоомыватели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аварийных выходов, приборов внутреннего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вещения салона, привода управления дверями и сигнализации их работы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разности тормозных сил установленным требованиям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работоспособность предусмотренных изготовителем транспортного средства стеклоочистителей и стеклоомывате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работоспособного звукового сигнального прибора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рабочей тормозной системы автопоездов с пневматическим тормозным приводом в режиме аварийного (автоматического) торможения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стеклоомывателем подачи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дкости в зоны очистки стекла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обозначений аварийных выходов и табличек по правилам их использования. Обеспечение свободного доступа к аварийным выходам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утечек сжатого воздуха из колесных тормозных камер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продольного люфта в беззазорных тягово-сцепных устройствах с тяговой вилкой для сцепленного с прицепом тягача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подтеканий тормозной жидкости, нарушения герметичности трубопроводов или соединений в гидравлическом тормозном приводе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Шины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колеса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размерных характеристик сцепных устройств установленным требованиям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коррозии, грозящей потерей герметичности или разрушением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остаточной глубины рисунка протектора шин установленным требованиям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транспортных средств исправными ремнями безопасности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механических повреждений тормозных трубопроводов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непригодности шин к эксплуатации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знака аварийной остановки и медицинской аптечки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(медицинских аптечек)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трещин остаточной деформации деталей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тормозного привода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всех болтов или гаек крепления дисков и ободьев колес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не менее 2 противооткатных упоров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Исправность средств сигнализации и 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роля тормозных систем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трещин на дисках и ободьях колес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огнетушителей, соответствующих установленным требованиям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идимых нарушений формы и размеров крепежных отверстий в дисках колес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Надежное крепление поручней в автобусах, запасного колеса, аккумуляторной батареи, сидений, огнетушителей и медицинской аптечки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и длина соединительных шлангов 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евматического тормозного привода автопоездов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шин на транспортное средство в соответствии с установленными требованиями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механизмов регулировки сидений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Рулевое управление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Двигатель и его системы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аботоспособность усилителя рулевого управления. Плавность изменения усилия при повороте рулевого колеса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держателя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запасного колеса, лебедки и механизма подъема-опускания запасного колеса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подтекания и каплепа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топлива в системе питания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каплепадения масел и рабочих жидкостей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превышения предельных значений суммарного люфта в рулевом управлении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запорных устройств и устройств перекрытия топлива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регистрационных знаков в соответствии с установленными требованиями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системы питания газобаллонны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транспортных средств, ее размещения и установки установленным требованиям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следов остаточной деформации, трещин и других дефектов в рулевом механизме и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левом приводе. Наличие и работоспособность предусмотренного изготовителем транспортного средства рулевого демпфера и (или) усилителя рулевого управления. Отсутствие подтекания рабочей жидкости в гидросистеме усилителя рулевого управления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нормам уровня шума выпускной системы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изменений в конструкции транспортного средства, внесенных в нарушение установленных требований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устройств, ограничивающих поворот рулевого колеса, не предусмотренных конструкцией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Прочие элементы конструкции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транспортного средства установленным дополнительным требованиям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Внешние световые приборы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зеркал заднего вида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установленными требованиями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работоспособного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графа или работоспособного контрольного устройства (тахографа)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устройств освещения и световой сигнализации установленным требованиям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дополнительных предметов или покрытий, ограничивающих обзорность с места водителя.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тветствие полосы пленки в верхней части ветрового стекла установленным требованиям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рассеивателей внешних световых приборов, отсутствие их разрушения и загрязнения. Отсутствие не предусмотренных конструкцией светового прибора оптических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ментов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норме светопропускания ветрового стекла, передних боковых стекол и стекол передних дверей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и режим работы сигналов торможения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трещин на ветровом стекле в зоне очистки водительского стеклоо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чистителя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углов регулировки и силы света фар установленным требованиям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Работоспособность замков дверей кузова, кабины, механизмов регулировки и фиксирующих устройств сидений, устройства обогрева и обдува ветрового стекла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гонного устройства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00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  <w:gridCol w:w="18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диагностирования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Требования, по которым установлено несоответствие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диагностической карты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граница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проверки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граница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требования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Невыполненные требования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проверки (узел, деталь, агрегат)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невыполненного требования (с указанием нормативного источника)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5"/>
        <w:gridCol w:w="1500"/>
        <w:gridCol w:w="1500"/>
        <w:gridCol w:w="1501"/>
        <w:gridCol w:w="1500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транспортного средства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без нагрузки:</w:t>
            </w:r>
          </w:p>
        </w:tc>
        <w:tc>
          <w:tcPr>
            <w:tcW w:w="7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Разрешенная максимальная масса: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топлива:</w:t>
            </w:r>
          </w:p>
        </w:tc>
        <w:tc>
          <w:tcPr>
            <w:tcW w:w="7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Пробег ТС: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тормозной системы:</w:t>
            </w:r>
          </w:p>
        </w:tc>
        <w:tc>
          <w:tcPr>
            <w:tcW w:w="7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шин: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газовом баллоне (газовых баллонах)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(год выпуска, серийный номер, даты последнего и очередного освидетель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ствования каждого газового баллона):</w:t>
            </w:r>
          </w:p>
        </w:tc>
        <w:tc>
          <w:tcPr>
            <w:tcW w:w="7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по газобаллонному оборудованию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(номер свидетельства о проведении периодических испытаний газобаллонного оборудования и дата его очередного освидетельствования):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о соответствии или несоответствии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обуса обязательным требованиям безопасности транспортных средств (подтверждающее или не подтверждающее его допуск к участию в дорожном движении)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Results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roadworthiness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inspection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Failed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0"/>
        <w:gridCol w:w="23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диагностической карты, требующие повторной проверки: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450"/>
        <w:gridCol w:w="270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технический осмотр провести до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технического эксперта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639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&lt;**&gt;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Stamp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сотрудника Госавтоинспекции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639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5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Нумерация строк соответствует нумерации обязательных требований безопасности, предъявляемых к транспортным средствам при проведении технического осмотра отдельных категорий</w:t>
      </w:r>
      <w:r>
        <w:rPr>
          <w:rFonts w:ascii="Times New Roman" w:hAnsi="Times New Roman" w:cs="Times New Roman"/>
          <w:sz w:val="24"/>
          <w:szCs w:val="24"/>
        </w:rPr>
        <w:t xml:space="preserve">, указанных в приложении к Правилам проведения технического осмотра транспортных средств, утвержденными постановлением Правительства Российской Федерации от 15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1434 "Об утверждении Правил проведения технического осмотра транспортных сред</w:t>
      </w:r>
      <w:r>
        <w:rPr>
          <w:rFonts w:ascii="Times New Roman" w:hAnsi="Times New Roman" w:cs="Times New Roman"/>
          <w:sz w:val="24"/>
          <w:szCs w:val="24"/>
        </w:rPr>
        <w:t>ств, а также о внесении изменений в некоторые акты Правительства Российской Федерации".</w:t>
      </w: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&lt;**&gt; Печать оператора технического осмотра проставляется в случае выдачи диагностической карты на бумажном носителе.".</w:t>
      </w:r>
    </w:p>
    <w:p w:rsidR="00000000" w:rsidRDefault="0015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505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Пункт утратил силу. (в ред. Постановления Пра</w:t>
      </w:r>
      <w:r>
        <w:rPr>
          <w:rFonts w:ascii="Times New Roman" w:hAnsi="Times New Roman" w:cs="Times New Roman"/>
          <w:sz w:val="24"/>
          <w:szCs w:val="24"/>
        </w:rPr>
        <w:t xml:space="preserve">вительства РФ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30.06.2021 N 1101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26"/>
    <w:rsid w:val="0015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008CC0-4F45-4D46-938F-E2F7C40C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9&amp;documentid=429621#l946" TargetMode="External"/><Relationship Id="rId21" Type="http://schemas.openxmlformats.org/officeDocument/2006/relationships/hyperlink" Target="https://normativ.kontur.ru/document?moduleid=1&amp;documentid=461575#l6" TargetMode="External"/><Relationship Id="rId42" Type="http://schemas.openxmlformats.org/officeDocument/2006/relationships/hyperlink" Target="https://normativ.kontur.ru/document?moduleid=9&amp;documentid=348291#l1030" TargetMode="External"/><Relationship Id="rId47" Type="http://schemas.openxmlformats.org/officeDocument/2006/relationships/hyperlink" Target="https://normativ.kontur.ru/document?moduleid=9&amp;documentid=348291#l993" TargetMode="External"/><Relationship Id="rId63" Type="http://schemas.openxmlformats.org/officeDocument/2006/relationships/hyperlink" Target="https://normativ.kontur.ru/document?moduleid=9&amp;documentid=348291#l1076" TargetMode="External"/><Relationship Id="rId68" Type="http://schemas.openxmlformats.org/officeDocument/2006/relationships/hyperlink" Target="https://normativ.kontur.ru/document?moduleid=9&amp;documentid=348291#l1087" TargetMode="External"/><Relationship Id="rId84" Type="http://schemas.openxmlformats.org/officeDocument/2006/relationships/hyperlink" Target="https://normativ.kontur.ru/document?moduleid=1&amp;documentid=361701#l0" TargetMode="External"/><Relationship Id="rId89" Type="http://schemas.openxmlformats.org/officeDocument/2006/relationships/hyperlink" Target="https://normativ.kontur.ru/document?moduleId=1&amp;documentId=461968#l0" TargetMode="External"/><Relationship Id="rId16" Type="http://schemas.openxmlformats.org/officeDocument/2006/relationships/hyperlink" Target="https://normativ.kontur.ru/document?moduleid=1&amp;documentid=461575#l6" TargetMode="External"/><Relationship Id="rId11" Type="http://schemas.openxmlformats.org/officeDocument/2006/relationships/hyperlink" Target="https://normativ.kontur.ru/document?moduleId=1&amp;documentId=461968#l0" TargetMode="External"/><Relationship Id="rId32" Type="http://schemas.openxmlformats.org/officeDocument/2006/relationships/hyperlink" Target="https://normativ.kontur.ru/document?moduleid=9&amp;documentid=429621#l962" TargetMode="External"/><Relationship Id="rId37" Type="http://schemas.openxmlformats.org/officeDocument/2006/relationships/hyperlink" Target="https://normativ.kontur.ru/document?moduleid=9&amp;documentid=348291#l2298" TargetMode="External"/><Relationship Id="rId53" Type="http://schemas.openxmlformats.org/officeDocument/2006/relationships/hyperlink" Target="https://normativ.kontur.ru/document?moduleid=9&amp;documentid=348291#l1067" TargetMode="External"/><Relationship Id="rId58" Type="http://schemas.openxmlformats.org/officeDocument/2006/relationships/hyperlink" Target="https://normativ.kontur.ru/document?moduleid=9&amp;documentid=348291#l1073" TargetMode="External"/><Relationship Id="rId74" Type="http://schemas.openxmlformats.org/officeDocument/2006/relationships/hyperlink" Target="https://normativ.kontur.ru/document?moduleid=9&amp;documentid=348291#l1094" TargetMode="External"/><Relationship Id="rId79" Type="http://schemas.openxmlformats.org/officeDocument/2006/relationships/hyperlink" Target="https://normativ.kontur.ru/document?moduleid=9&amp;documentid=348291#l2395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382413#l0" TargetMode="External"/><Relationship Id="rId90" Type="http://schemas.openxmlformats.org/officeDocument/2006/relationships/hyperlink" Target="https://normativ.kontur.ru/document?moduleid=1&amp;documentid=394331#l163" TargetMode="External"/><Relationship Id="rId95" Type="http://schemas.openxmlformats.org/officeDocument/2006/relationships/hyperlink" Target="https://normativ.kontur.ru/document?moduleId=1&amp;documentId=461968#l156" TargetMode="External"/><Relationship Id="rId22" Type="http://schemas.openxmlformats.org/officeDocument/2006/relationships/hyperlink" Target="https://normativ.kontur.ru/document?moduleid=1&amp;documentid=461575#l6" TargetMode="External"/><Relationship Id="rId27" Type="http://schemas.openxmlformats.org/officeDocument/2006/relationships/hyperlink" Target="https://normativ.kontur.ru/document?moduleid=9&amp;documentid=429621#l952" TargetMode="External"/><Relationship Id="rId43" Type="http://schemas.openxmlformats.org/officeDocument/2006/relationships/hyperlink" Target="https://normativ.kontur.ru/document?moduleid=9&amp;documentid=348291#l2339" TargetMode="External"/><Relationship Id="rId48" Type="http://schemas.openxmlformats.org/officeDocument/2006/relationships/hyperlink" Target="https://normativ.kontur.ru/document?moduleid=9&amp;documentid=348291#l1029" TargetMode="External"/><Relationship Id="rId64" Type="http://schemas.openxmlformats.org/officeDocument/2006/relationships/hyperlink" Target="https://normativ.kontur.ru/document?moduleid=9&amp;documentid=348291#l2377" TargetMode="External"/><Relationship Id="rId69" Type="http://schemas.openxmlformats.org/officeDocument/2006/relationships/hyperlink" Target="https://normativ.kontur.ru/document?moduleid=9&amp;documentid=348291#l1089" TargetMode="External"/><Relationship Id="rId80" Type="http://schemas.openxmlformats.org/officeDocument/2006/relationships/hyperlink" Target="https://normativ.kontur.ru/document?moduleid=9&amp;documentid=348291#l1102" TargetMode="External"/><Relationship Id="rId85" Type="http://schemas.openxmlformats.org/officeDocument/2006/relationships/hyperlink" Target="https://normativ.kontur.ru/document?moduleId=1&amp;documentId=461968#l0" TargetMode="External"/><Relationship Id="rId12" Type="http://schemas.openxmlformats.org/officeDocument/2006/relationships/hyperlink" Target="https://normativ.kontur.ru/document?moduleid=1&amp;documentid=382413#l2" TargetMode="External"/><Relationship Id="rId17" Type="http://schemas.openxmlformats.org/officeDocument/2006/relationships/hyperlink" Target="https://normativ.kontur.ru/document?moduleid=1&amp;documentid=461575#l6" TargetMode="External"/><Relationship Id="rId25" Type="http://schemas.openxmlformats.org/officeDocument/2006/relationships/hyperlink" Target="https://normativ.kontur.ru/document?moduleid=9&amp;documentid=429621#l935" TargetMode="External"/><Relationship Id="rId33" Type="http://schemas.openxmlformats.org/officeDocument/2006/relationships/hyperlink" Target="https://normativ.kontur.ru/document?moduleid=9&amp;documentid=348291#l978" TargetMode="External"/><Relationship Id="rId38" Type="http://schemas.openxmlformats.org/officeDocument/2006/relationships/hyperlink" Target="https://normativ.kontur.ru/document?moduleid=9&amp;documentid=348291#l973" TargetMode="External"/><Relationship Id="rId46" Type="http://schemas.openxmlformats.org/officeDocument/2006/relationships/hyperlink" Target="https://normativ.kontur.ru/document?moduleid=9&amp;documentid=348291#l993" TargetMode="External"/><Relationship Id="rId59" Type="http://schemas.openxmlformats.org/officeDocument/2006/relationships/hyperlink" Target="https://normativ.kontur.ru/document?moduleid=9&amp;documentid=348291#l1074" TargetMode="External"/><Relationship Id="rId67" Type="http://schemas.openxmlformats.org/officeDocument/2006/relationships/hyperlink" Target="https://normativ.kontur.ru/document?moduleid=9&amp;documentid=348291#l1086" TargetMode="External"/><Relationship Id="rId20" Type="http://schemas.openxmlformats.org/officeDocument/2006/relationships/hyperlink" Target="https://normativ.kontur.ru/document?moduleid=1&amp;documentid=453043#l297" TargetMode="External"/><Relationship Id="rId41" Type="http://schemas.openxmlformats.org/officeDocument/2006/relationships/hyperlink" Target="https://normativ.kontur.ru/document?moduleid=9&amp;documentid=348291#l1016" TargetMode="External"/><Relationship Id="rId54" Type="http://schemas.openxmlformats.org/officeDocument/2006/relationships/hyperlink" Target="https://normativ.kontur.ru/document?moduleid=9&amp;documentid=348291#l1068" TargetMode="External"/><Relationship Id="rId62" Type="http://schemas.openxmlformats.org/officeDocument/2006/relationships/hyperlink" Target="https://normativ.kontur.ru/document?moduleid=9&amp;documentid=348291#l1075" TargetMode="External"/><Relationship Id="rId70" Type="http://schemas.openxmlformats.org/officeDocument/2006/relationships/hyperlink" Target="https://normativ.kontur.ru/document?moduleid=9&amp;documentid=348291#l1089" TargetMode="External"/><Relationship Id="rId75" Type="http://schemas.openxmlformats.org/officeDocument/2006/relationships/hyperlink" Target="https://normativ.kontur.ru/document?moduleid=9&amp;documentid=348291#l1095" TargetMode="External"/><Relationship Id="rId83" Type="http://schemas.openxmlformats.org/officeDocument/2006/relationships/hyperlink" Target="https://normativ.kontur.ru/document?moduleid=9&amp;documentid=348291#l39" TargetMode="External"/><Relationship Id="rId88" Type="http://schemas.openxmlformats.org/officeDocument/2006/relationships/hyperlink" Target="https://normativ.kontur.ru/document?moduleid=1&amp;documentid=416992#l807" TargetMode="External"/><Relationship Id="rId91" Type="http://schemas.openxmlformats.org/officeDocument/2006/relationships/hyperlink" Target="https://normativ.kontur.ru/document?moduleid=1&amp;documentid=395715#l129" TargetMode="External"/><Relationship Id="rId96" Type="http://schemas.openxmlformats.org/officeDocument/2006/relationships/hyperlink" Target="https://normativ.kontur.ru/document?moduleid=1&amp;documentid=362873#l1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5715#l0" TargetMode="External"/><Relationship Id="rId15" Type="http://schemas.openxmlformats.org/officeDocument/2006/relationships/hyperlink" Target="https://normativ.kontur.ru/document?moduleid=1&amp;documentid=395013#l0" TargetMode="External"/><Relationship Id="rId23" Type="http://schemas.openxmlformats.org/officeDocument/2006/relationships/hyperlink" Target="https://normativ.kontur.ru/document?moduleid=1&amp;documentid=416992#l204" TargetMode="External"/><Relationship Id="rId28" Type="http://schemas.openxmlformats.org/officeDocument/2006/relationships/hyperlink" Target="https://normativ.kontur.ru/document?moduleid=9&amp;documentid=429621#l2278" TargetMode="External"/><Relationship Id="rId36" Type="http://schemas.openxmlformats.org/officeDocument/2006/relationships/hyperlink" Target="https://normativ.kontur.ru/document?moduleid=9&amp;documentid=348291#l972" TargetMode="External"/><Relationship Id="rId49" Type="http://schemas.openxmlformats.org/officeDocument/2006/relationships/hyperlink" Target="https://normativ.kontur.ru/document?moduleid=9&amp;documentid=348291#l623" TargetMode="External"/><Relationship Id="rId57" Type="http://schemas.openxmlformats.org/officeDocument/2006/relationships/hyperlink" Target="https://normativ.kontur.ru/document?moduleid=9&amp;documentid=348291#l1073" TargetMode="External"/><Relationship Id="rId10" Type="http://schemas.openxmlformats.org/officeDocument/2006/relationships/hyperlink" Target="https://normativ.kontur.ru/document?moduleid=1&amp;documentid=358881#l0" TargetMode="External"/><Relationship Id="rId31" Type="http://schemas.openxmlformats.org/officeDocument/2006/relationships/hyperlink" Target="https://normativ.kontur.ru/document?moduleid=9&amp;documentid=429621#l971" TargetMode="External"/><Relationship Id="rId44" Type="http://schemas.openxmlformats.org/officeDocument/2006/relationships/hyperlink" Target="https://normativ.kontur.ru/document?moduleid=9&amp;documentid=348291#l1038" TargetMode="External"/><Relationship Id="rId52" Type="http://schemas.openxmlformats.org/officeDocument/2006/relationships/hyperlink" Target="https://normativ.kontur.ru/document?moduleid=9&amp;documentid=348291#l2366" TargetMode="External"/><Relationship Id="rId60" Type="http://schemas.openxmlformats.org/officeDocument/2006/relationships/hyperlink" Target="https://normativ.kontur.ru/document?moduleid=9&amp;documentid=348291#l1075" TargetMode="External"/><Relationship Id="rId65" Type="http://schemas.openxmlformats.org/officeDocument/2006/relationships/hyperlink" Target="https://normativ.kontur.ru/document?moduleid=9&amp;documentid=348291#l1079" TargetMode="External"/><Relationship Id="rId73" Type="http://schemas.openxmlformats.org/officeDocument/2006/relationships/hyperlink" Target="https://normativ.kontur.ru/document?moduleid=9&amp;documentid=348291#l1094" TargetMode="External"/><Relationship Id="rId78" Type="http://schemas.openxmlformats.org/officeDocument/2006/relationships/hyperlink" Target="https://normativ.kontur.ru/document?moduleid=9&amp;documentid=348291#l1099" TargetMode="External"/><Relationship Id="rId81" Type="http://schemas.openxmlformats.org/officeDocument/2006/relationships/hyperlink" Target="https://normativ.kontur.ru/document?moduleid=9&amp;documentid=348291#l2397" TargetMode="External"/><Relationship Id="rId86" Type="http://schemas.openxmlformats.org/officeDocument/2006/relationships/hyperlink" Target="https://normativ.kontur.ru/document?moduleid=9&amp;documentid=348291#l252" TargetMode="External"/><Relationship Id="rId94" Type="http://schemas.openxmlformats.org/officeDocument/2006/relationships/hyperlink" Target="https://normativ.kontur.ru/document?moduleid=1&amp;documentid=367108#l7" TargetMode="External"/><Relationship Id="rId99" Type="http://schemas.openxmlformats.org/officeDocument/2006/relationships/hyperlink" Target="https://normativ.kontur.ru/document?moduleid=1&amp;documentid=362873#l48" TargetMode="External"/><Relationship Id="rId101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394331#l0" TargetMode="External"/><Relationship Id="rId9" Type="http://schemas.openxmlformats.org/officeDocument/2006/relationships/hyperlink" Target="https://normativ.kontur.ru/document?moduleid=1&amp;documentid=453043#l0" TargetMode="External"/><Relationship Id="rId13" Type="http://schemas.openxmlformats.org/officeDocument/2006/relationships/hyperlink" Target="https://normativ.kontur.ru/document?moduleid=1&amp;documentid=416992#l202" TargetMode="External"/><Relationship Id="rId18" Type="http://schemas.openxmlformats.org/officeDocument/2006/relationships/hyperlink" Target="https://normativ.kontur.ru/document?moduleid=1&amp;documentid=395013#l77" TargetMode="External"/><Relationship Id="rId39" Type="http://schemas.openxmlformats.org/officeDocument/2006/relationships/hyperlink" Target="https://normativ.kontur.ru/document?moduleid=9&amp;documentid=348291#l1014" TargetMode="External"/><Relationship Id="rId34" Type="http://schemas.openxmlformats.org/officeDocument/2006/relationships/hyperlink" Target="https://normativ.kontur.ru/document?moduleid=9&amp;documentid=348291#l986" TargetMode="External"/><Relationship Id="rId50" Type="http://schemas.openxmlformats.org/officeDocument/2006/relationships/hyperlink" Target="https://normativ.kontur.ru/document?moduleid=9&amp;documentid=348291#l197" TargetMode="External"/><Relationship Id="rId55" Type="http://schemas.openxmlformats.org/officeDocument/2006/relationships/hyperlink" Target="https://normativ.kontur.ru/document?moduleid=9&amp;documentid=348291#l1069" TargetMode="External"/><Relationship Id="rId76" Type="http://schemas.openxmlformats.org/officeDocument/2006/relationships/hyperlink" Target="https://normativ.kontur.ru/document?moduleid=9&amp;documentid=348291#l1096" TargetMode="External"/><Relationship Id="rId97" Type="http://schemas.openxmlformats.org/officeDocument/2006/relationships/hyperlink" Target="https://normativ.kontur.ru/document?moduleid=1&amp;documentid=362873#l3" TargetMode="External"/><Relationship Id="rId7" Type="http://schemas.openxmlformats.org/officeDocument/2006/relationships/hyperlink" Target="https://normativ.kontur.ru/document?moduleid=1&amp;documentid=416992#l9" TargetMode="External"/><Relationship Id="rId71" Type="http://schemas.openxmlformats.org/officeDocument/2006/relationships/hyperlink" Target="https://normativ.kontur.ru/document?moduleid=9&amp;documentid=348291#l2389" TargetMode="External"/><Relationship Id="rId92" Type="http://schemas.openxmlformats.org/officeDocument/2006/relationships/hyperlink" Target="https://normativ.kontur.ru/document?moduleid=1&amp;documentid=394331#l16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9&amp;documentid=429621#l958" TargetMode="External"/><Relationship Id="rId24" Type="http://schemas.openxmlformats.org/officeDocument/2006/relationships/hyperlink" Target="https://normativ.kontur.ru/document?moduleid=9&amp;documentid=429621#l2924" TargetMode="External"/><Relationship Id="rId40" Type="http://schemas.openxmlformats.org/officeDocument/2006/relationships/hyperlink" Target="https://normativ.kontur.ru/document?moduleid=9&amp;documentid=348291#l1015" TargetMode="External"/><Relationship Id="rId45" Type="http://schemas.openxmlformats.org/officeDocument/2006/relationships/hyperlink" Target="https://normativ.kontur.ru/document?moduleid=9&amp;documentid=348291#l998" TargetMode="External"/><Relationship Id="rId66" Type="http://schemas.openxmlformats.org/officeDocument/2006/relationships/hyperlink" Target="https://normativ.kontur.ru/document?moduleid=9&amp;documentid=348291#l1084" TargetMode="External"/><Relationship Id="rId87" Type="http://schemas.openxmlformats.org/officeDocument/2006/relationships/hyperlink" Target="https://normativ.kontur.ru/document?moduleId=1&amp;documentId=461968#l0" TargetMode="External"/><Relationship Id="rId61" Type="http://schemas.openxmlformats.org/officeDocument/2006/relationships/hyperlink" Target="https://normativ.kontur.ru/document?moduleid=9&amp;documentid=348291#l1075" TargetMode="External"/><Relationship Id="rId82" Type="http://schemas.openxmlformats.org/officeDocument/2006/relationships/hyperlink" Target="https://normativ.kontur.ru/document?moduleid=9&amp;documentid=348291#l253" TargetMode="External"/><Relationship Id="rId19" Type="http://schemas.openxmlformats.org/officeDocument/2006/relationships/hyperlink" Target="https://normativ.kontur.ru/document?moduleid=1&amp;documentid=395013#l484" TargetMode="External"/><Relationship Id="rId14" Type="http://schemas.openxmlformats.org/officeDocument/2006/relationships/hyperlink" Target="https://normativ.kontur.ru/document?moduleid=1&amp;documentid=461575#l6" TargetMode="External"/><Relationship Id="rId30" Type="http://schemas.openxmlformats.org/officeDocument/2006/relationships/hyperlink" Target="https://normativ.kontur.ru/document?moduleid=9&amp;documentid=429621#l960" TargetMode="External"/><Relationship Id="rId35" Type="http://schemas.openxmlformats.org/officeDocument/2006/relationships/hyperlink" Target="https://normativ.kontur.ru/document?moduleid=9&amp;documentid=348291#l932" TargetMode="External"/><Relationship Id="rId56" Type="http://schemas.openxmlformats.org/officeDocument/2006/relationships/hyperlink" Target="https://normativ.kontur.ru/document?moduleid=9&amp;documentid=348291#l1071" TargetMode="External"/><Relationship Id="rId77" Type="http://schemas.openxmlformats.org/officeDocument/2006/relationships/hyperlink" Target="https://normativ.kontur.ru/document?moduleid=9&amp;documentid=348291#l1097" TargetMode="External"/><Relationship Id="rId100" Type="http://schemas.openxmlformats.org/officeDocument/2006/relationships/hyperlink" Target="https://normativ.kontur.ru/document?moduleid=1&amp;documentid=395715#l129" TargetMode="External"/><Relationship Id="rId8" Type="http://schemas.openxmlformats.org/officeDocument/2006/relationships/hyperlink" Target="https://normativ.kontur.ru/document?moduleid=1&amp;documentid=461575#l0" TargetMode="External"/><Relationship Id="rId51" Type="http://schemas.openxmlformats.org/officeDocument/2006/relationships/hyperlink" Target="https://normativ.kontur.ru/document?moduleid=9&amp;documentid=348291#l2363" TargetMode="External"/><Relationship Id="rId72" Type="http://schemas.openxmlformats.org/officeDocument/2006/relationships/hyperlink" Target="https://normativ.kontur.ru/document?moduleid=9&amp;documentid=348291#l1094" TargetMode="External"/><Relationship Id="rId93" Type="http://schemas.openxmlformats.org/officeDocument/2006/relationships/hyperlink" Target="https://normativ.kontur.ru/document?moduleid=1&amp;documentid=212471#l0" TargetMode="External"/><Relationship Id="rId98" Type="http://schemas.openxmlformats.org/officeDocument/2006/relationships/hyperlink" Target="https://normativ.kontur.ru/document?moduleid=1&amp;documentid=367108#l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10317</Words>
  <Characters>58812</Characters>
  <Application>Microsoft Office Word</Application>
  <DocSecurity>0</DocSecurity>
  <Lines>490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2</cp:revision>
  <dcterms:created xsi:type="dcterms:W3CDTF">2024-03-20T06:10:00Z</dcterms:created>
  <dcterms:modified xsi:type="dcterms:W3CDTF">2024-03-20T06:10:00Z</dcterms:modified>
</cp:coreProperties>
</file>